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tblCellSpacing w:w="0" w:type="dxa"/>
        <w:shd w:val="clear" w:color="auto" w:fill="FFFFFF"/>
        <w:tblCellMar>
          <w:left w:w="0" w:type="dxa"/>
          <w:right w:w="0" w:type="dxa"/>
        </w:tblCellMar>
        <w:tblLook w:val="04A0"/>
      </w:tblPr>
      <w:tblGrid>
        <w:gridCol w:w="7808"/>
      </w:tblGrid>
      <w:tr w:rsidR="00AD2FAA" w:rsidRPr="00AD2FAA" w:rsidTr="00AD2FAA">
        <w:trPr>
          <w:tblCellSpacing w:w="0" w:type="dxa"/>
        </w:trPr>
        <w:tc>
          <w:tcPr>
            <w:tcW w:w="0" w:type="auto"/>
            <w:shd w:val="clear" w:color="auto" w:fill="FFFFFF"/>
            <w:vAlign w:val="center"/>
            <w:hideMark/>
          </w:tcPr>
          <w:p w:rsidR="00AD2FAA" w:rsidRPr="00AD2FAA" w:rsidRDefault="00AD2FAA" w:rsidP="00AD2FAA">
            <w:pPr>
              <w:widowControl/>
              <w:spacing w:line="630" w:lineRule="atLeast"/>
              <w:jc w:val="center"/>
              <w:rPr>
                <w:rFonts w:ascii="宋体" w:eastAsia="宋体" w:hAnsi="宋体" w:cs="宋体"/>
                <w:b/>
                <w:bCs/>
                <w:color w:val="272727"/>
                <w:kern w:val="0"/>
                <w:sz w:val="32"/>
                <w:szCs w:val="32"/>
              </w:rPr>
            </w:pPr>
            <w:r w:rsidRPr="00AD2FAA">
              <w:rPr>
                <w:rFonts w:ascii="宋体" w:eastAsia="宋体" w:hAnsi="宋体" w:cs="宋体" w:hint="eastAsia"/>
                <w:b/>
                <w:bCs/>
                <w:color w:val="272727"/>
                <w:kern w:val="0"/>
                <w:sz w:val="32"/>
                <w:szCs w:val="32"/>
              </w:rPr>
              <w:t>中华人民共和国反恐怖主义法</w:t>
            </w:r>
          </w:p>
        </w:tc>
      </w:tr>
    </w:tbl>
    <w:p w:rsidR="00AD2FAA" w:rsidRPr="00AD2FAA" w:rsidRDefault="00AD2FAA" w:rsidP="00AD2FAA">
      <w:pPr>
        <w:widowControl/>
        <w:jc w:val="left"/>
        <w:rPr>
          <w:rFonts w:ascii="宋体" w:eastAsia="宋体" w:hAnsi="宋体" w:cs="宋体"/>
          <w:vanish/>
          <w:kern w:val="0"/>
          <w:sz w:val="24"/>
          <w:szCs w:val="24"/>
        </w:rPr>
      </w:pPr>
    </w:p>
    <w:p w:rsidR="00AD2FAA" w:rsidRPr="00AD2FAA" w:rsidRDefault="00AD2FAA" w:rsidP="00AD2FAA">
      <w:pPr>
        <w:widowControl/>
        <w:jc w:val="left"/>
        <w:rPr>
          <w:rFonts w:ascii="宋体" w:eastAsia="宋体" w:hAnsi="宋体" w:cs="宋体"/>
          <w:vanish/>
          <w:kern w:val="0"/>
          <w:sz w:val="24"/>
          <w:szCs w:val="24"/>
        </w:rPr>
      </w:pPr>
    </w:p>
    <w:tbl>
      <w:tblPr>
        <w:tblW w:w="4700" w:type="pct"/>
        <w:tblCellSpacing w:w="0" w:type="dxa"/>
        <w:shd w:val="clear" w:color="auto" w:fill="FFFFFF"/>
        <w:tblCellMar>
          <w:left w:w="0" w:type="dxa"/>
          <w:right w:w="0" w:type="dxa"/>
        </w:tblCellMar>
        <w:tblLook w:val="04A0"/>
      </w:tblPr>
      <w:tblGrid>
        <w:gridCol w:w="7808"/>
      </w:tblGrid>
      <w:tr w:rsidR="00AD2FAA" w:rsidRPr="00AD2FAA" w:rsidTr="00AD2FAA">
        <w:trPr>
          <w:tblCellSpacing w:w="0" w:type="dxa"/>
        </w:trPr>
        <w:tc>
          <w:tcPr>
            <w:tcW w:w="0" w:type="auto"/>
            <w:shd w:val="clear" w:color="auto" w:fill="FFFFFF"/>
            <w:vAlign w:val="center"/>
            <w:hideMark/>
          </w:tcPr>
          <w:p w:rsidR="00AD2FAA" w:rsidRPr="00AD2FAA" w:rsidRDefault="00AD2FAA" w:rsidP="00AD2FAA">
            <w:pPr>
              <w:widowControl/>
              <w:jc w:val="left"/>
              <w:rPr>
                <w:rFonts w:ascii="宋体" w:eastAsia="宋体" w:hAnsi="宋体" w:cs="宋体"/>
                <w:color w:val="000000"/>
                <w:kern w:val="0"/>
                <w:sz w:val="18"/>
                <w:szCs w:val="18"/>
              </w:rPr>
            </w:pPr>
            <w:r w:rsidRPr="00AD2FAA">
              <w:rPr>
                <w:rFonts w:ascii="宋体" w:eastAsia="宋体" w:hAnsi="宋体" w:cs="宋体" w:hint="eastAsia"/>
                <w:color w:val="000000"/>
                <w:kern w:val="0"/>
                <w:sz w:val="18"/>
                <w:szCs w:val="18"/>
              </w:rPr>
              <w:t> </w:t>
            </w:r>
          </w:p>
        </w:tc>
      </w:tr>
    </w:tbl>
    <w:p w:rsidR="00AD2FAA" w:rsidRPr="00AD2FAA" w:rsidRDefault="00AD2FAA" w:rsidP="00AD2FAA">
      <w:pPr>
        <w:widowControl/>
        <w:jc w:val="left"/>
        <w:rPr>
          <w:rFonts w:ascii="宋体" w:eastAsia="宋体" w:hAnsi="宋体" w:cs="宋体"/>
          <w:vanish/>
          <w:kern w:val="0"/>
          <w:sz w:val="24"/>
          <w:szCs w:val="24"/>
        </w:rPr>
      </w:pPr>
    </w:p>
    <w:tbl>
      <w:tblPr>
        <w:tblW w:w="4700" w:type="pct"/>
        <w:tblCellSpacing w:w="0" w:type="dxa"/>
        <w:shd w:val="clear" w:color="auto" w:fill="FFFFFF"/>
        <w:tblCellMar>
          <w:left w:w="0" w:type="dxa"/>
          <w:right w:w="0" w:type="dxa"/>
        </w:tblCellMar>
        <w:tblLook w:val="04A0"/>
      </w:tblPr>
      <w:tblGrid>
        <w:gridCol w:w="8306"/>
      </w:tblGrid>
      <w:tr w:rsidR="00AD2FAA" w:rsidRPr="00AD2FAA" w:rsidTr="00AD2FAA">
        <w:trPr>
          <w:tblCellSpacing w:w="0" w:type="dxa"/>
        </w:trPr>
        <w:tc>
          <w:tcPr>
            <w:tcW w:w="0" w:type="auto"/>
            <w:shd w:val="clear" w:color="auto" w:fill="FFFFFF"/>
            <w:vAlign w:val="center"/>
            <w:hideMark/>
          </w:tcPr>
          <w:tbl>
            <w:tblPr>
              <w:tblW w:w="14100" w:type="dxa"/>
              <w:jc w:val="center"/>
              <w:tblCellSpacing w:w="0" w:type="dxa"/>
              <w:tblCellMar>
                <w:left w:w="0" w:type="dxa"/>
                <w:right w:w="0" w:type="dxa"/>
              </w:tblCellMar>
              <w:tblLook w:val="04A0"/>
            </w:tblPr>
            <w:tblGrid>
              <w:gridCol w:w="14100"/>
            </w:tblGrid>
            <w:tr w:rsidR="00AD2FAA" w:rsidRPr="00AD2FAA">
              <w:trPr>
                <w:tblCellSpacing w:w="0" w:type="dxa"/>
                <w:jc w:val="center"/>
              </w:trPr>
              <w:tc>
                <w:tcPr>
                  <w:tcW w:w="0" w:type="auto"/>
                  <w:vAlign w:val="center"/>
                  <w:hideMark/>
                </w:tcPr>
                <w:p w:rsidR="00AD2FAA" w:rsidRPr="00AD2FAA" w:rsidRDefault="00AD2FAA" w:rsidP="00AD2FAA">
                  <w:pPr>
                    <w:widowControl/>
                    <w:jc w:val="center"/>
                    <w:rPr>
                      <w:rFonts w:ascii="宋体" w:eastAsia="宋体" w:hAnsi="宋体" w:cs="宋体"/>
                      <w:kern w:val="0"/>
                      <w:sz w:val="24"/>
                      <w:szCs w:val="24"/>
                    </w:rPr>
                  </w:pPr>
                </w:p>
              </w:tc>
            </w:tr>
          </w:tbl>
          <w:p w:rsidR="00AD2FAA" w:rsidRPr="00AD2FAA" w:rsidRDefault="00AD2FAA" w:rsidP="00AD2FAA">
            <w:pPr>
              <w:widowControl/>
              <w:spacing w:line="420" w:lineRule="atLeast"/>
              <w:jc w:val="center"/>
              <w:rPr>
                <w:rFonts w:ascii="宋体" w:eastAsia="宋体" w:hAnsi="宋体" w:cs="宋体" w:hint="eastAsia"/>
                <w:color w:val="000000"/>
                <w:kern w:val="0"/>
                <w:szCs w:val="21"/>
              </w:rPr>
            </w:pPr>
            <w:r w:rsidRPr="00AD2FAA">
              <w:rPr>
                <w:rFonts w:ascii="宋体" w:eastAsia="宋体" w:hAnsi="宋体" w:cs="宋体" w:hint="eastAsia"/>
                <w:color w:val="000000"/>
                <w:kern w:val="0"/>
                <w:szCs w:val="21"/>
              </w:rPr>
              <w:t>（2015年12月27日第十二届全国人民代表大会常务委员会第十八次会议通过）</w:t>
            </w:r>
          </w:p>
          <w:p w:rsidR="00AD2FAA" w:rsidRPr="00AD2FAA" w:rsidRDefault="00AD2FAA" w:rsidP="00AD2FAA">
            <w:pPr>
              <w:widowControl/>
              <w:spacing w:line="420" w:lineRule="atLeast"/>
              <w:rPr>
                <w:rFonts w:ascii="宋体" w:eastAsia="宋体" w:hAnsi="宋体" w:cs="宋体"/>
                <w:color w:val="000000"/>
                <w:kern w:val="0"/>
                <w:szCs w:val="21"/>
              </w:rPr>
            </w:pPr>
            <w:r w:rsidRPr="00AD2FAA">
              <w:rPr>
                <w:rFonts w:ascii="宋体" w:eastAsia="宋体" w:hAnsi="宋体" w:cs="宋体" w:hint="eastAsia"/>
                <w:color w:val="000000"/>
                <w:kern w:val="0"/>
                <w:szCs w:val="21"/>
              </w:rPr>
              <w:t xml:space="preserve">　　目录</w:t>
            </w:r>
            <w:r w:rsidRPr="00AD2FAA">
              <w:rPr>
                <w:rFonts w:ascii="宋体" w:eastAsia="宋体" w:hAnsi="宋体" w:cs="宋体" w:hint="eastAsia"/>
                <w:color w:val="000000"/>
                <w:kern w:val="0"/>
                <w:szCs w:val="21"/>
              </w:rPr>
              <w:br/>
              <w:t xml:space="preserve">　　第一章总则</w:t>
            </w:r>
            <w:r w:rsidRPr="00AD2FAA">
              <w:rPr>
                <w:rFonts w:ascii="宋体" w:eastAsia="宋体" w:hAnsi="宋体" w:cs="宋体" w:hint="eastAsia"/>
                <w:color w:val="000000"/>
                <w:kern w:val="0"/>
                <w:szCs w:val="21"/>
              </w:rPr>
              <w:br/>
              <w:t xml:space="preserve">　　第二章恐怖活动组织和人员的认定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第三章安全防范</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第四章情报信息</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第五章调查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第六章应对处置</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第七章国际合作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第八章保障措施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第九章法律责任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第十章附则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第一章总则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第一条为了防范和惩治恐怖活动，加强反恐怖主义工作，维护国家安全、公共安全和人民生命财产安全，根据宪法，制定本法。</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条国家反对一切形式的恐怖主义，依法取缔恐怖活动组织，对任何组织、策划、准备实施、实施恐怖活动，宣扬恐怖主义，煽动实施恐怖活动，组织、领导、参加恐怖活动组织，为恐怖活动提供帮助的，依法追究法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国家不向任何恐怖活动组织和人员作出妥协，不向任何恐怖活动人员提供庇护或者给予难民地位。</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第三条本法所称恐怖主义，是指通过暴力、破坏、恐吓等手段，制造社会恐慌、危害公共安全、侵犯人身财产，或者胁迫国家机关、国际组织，以实现其政治、意识形态等目的的主张和行为。</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本法所称恐怖活动，是指恐怖主义性质的下列行为：</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（一）组织、策划、准备实施、实施造成或者意图造成人员伤亡、重大财产损失、公共设施损坏、社会秩序混乱等严重社会危害的活动的；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（二）宣扬恐怖主义，煽动实施恐怖活动，或者非法持有宣扬恐怖主义的物品，强制他人在公共场所穿戴宣扬恐怖主义的服饰、标志的；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（三）组织、领导、参加恐怖活动组织的；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（四）为恐怖活动组织、恐怖活动人员、实施恐怖活动或者恐怖活动培训提供信息、资</w:t>
            </w:r>
            <w:r w:rsidRPr="00AD2FAA">
              <w:rPr>
                <w:rFonts w:ascii="宋体" w:eastAsia="宋体" w:hAnsi="宋体" w:cs="宋体" w:hint="eastAsia"/>
                <w:color w:val="000000"/>
                <w:kern w:val="0"/>
                <w:szCs w:val="21"/>
              </w:rPr>
              <w:lastRenderedPageBreak/>
              <w:t>金、物资、劳务、技术、场所等支持、协助、便利的；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（五）其他恐怖活动。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本法所称恐怖活动组织，是指三人以上为实施恐怖活动而组成的犯罪组织。</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本法所称恐怖活动人员，是指实施恐怖活动的人和恐怖活动组织的成员。</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本法所称恐怖事件，是指正在发生或者已经发生的造成或者可能造成重大社会危害的恐怖活动。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第四条国家将反恐怖主义纳入国家安全战略，综合施策，标本兼治，加强反恐怖主义的能力建设，运用政治、经济、法律、文化、教育、外交、军事等手段，开展反恐怖主义工作。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国家反对一切形式的以歪曲宗教教义或者其他方法煽动仇恨、煽动歧视、鼓吹暴力等极端主义，消除恐怖主义的思想基础。</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第五条反恐怖主义工作坚持专门工作与群众路线相结合，防范为主、惩防结合和先发制敌、保持主动的原则。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第六条反恐怖主义工作应当依法进行，尊重和保障人权，维护公民和组织的合法权益。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在反恐怖主义工作中，应当尊重公民的宗教信仰自由和民族风俗习惯，禁止任何基于地域、民族、宗教等理由的歧视性做法。</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第七条国家设立反恐怖主义工作领导机构，统一领导和指挥全国反恐怖主义工作。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设区的市级以上地方人民政府设立反恐怖主义工作领导机构，县级人民政府根据需要设立反恐怖主义工作领导机构，在上级反恐怖主义工作领导机构的领导和指挥下，负责本地区反恐怖主义工作。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第八条公安机关、国家安全机关和人民检察院、人民法院、司法行政机关以及其他有关国家机关，应当根据分工，实行工作责任制，依法做好反恐怖主义工作。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中国人民解放军、中国人民武装警察部队和民兵组织依照本法和其他有关法律、行政法规、军事法规以及国务院、中央军事委员会的命令，并根据反恐怖主义工作领导机构的部署，防范和处置恐怖活动。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有关部门应当建立联动配合机制，依靠、动员村民委员会、居民委员会、企业事业单位、社会组织，共同开展反恐怖主义工作。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第九条任何单位和个人都有协助、配合有关部门开展反恐怖主义工作的义务，发现恐怖活动嫌疑或者恐怖活动嫌疑人员的，应当及时向公安机关或者有关部门报告。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第十条对举报恐怖活动或者协助防范、制止恐怖活动有突出贡献的单位和个人，以及在反恐怖主义工作中作出其他突出</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贡献的单位和个人，按照国家有关规定给予表彰、奖励。</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第十一条对在中华人民共和国领域外对中华人民共和国国家、公民或者机构实施的恐怖活动犯罪，或者实施的中华人民共和国缔结、参加的国际条约所规定的恐怖活动犯罪，中华</w:t>
            </w:r>
            <w:r w:rsidRPr="00AD2FAA">
              <w:rPr>
                <w:rFonts w:ascii="宋体" w:eastAsia="宋体" w:hAnsi="宋体" w:cs="宋体" w:hint="eastAsia"/>
                <w:color w:val="000000"/>
                <w:kern w:val="0"/>
                <w:szCs w:val="21"/>
              </w:rPr>
              <w:lastRenderedPageBreak/>
              <w:t>人民共和国行使刑事管辖权，依法追究刑事责任。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第二章恐怖活动组织和人员的认定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第十二条国家反恐怖主义工作领导机构根据本法第三条的规定，认定恐怖活动组织和人员，由国家反恐怖主义工作领导机构的办事机构予以公告。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第十三条国务院公安部门、国家安全部门、外交部门和省级反恐怖主义工作领导机构对于需要认定恐怖活动组织和人员的，应当向国家反恐怖主义工作领导机构提出申请。</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四条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五条被认定的恐怖活动组织和人员对认定不服的，可以通过国家反恐怖主义工作领导机构的办事机构申请复核。国家反恐怖主义工作领导机构应当及时进行复核，作出维持或者撤销认定的决定。复核决定为最终决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国家反恐怖主义工作领导机构作出撤销认定的决定的，由国家反恐怖主义工作领导机构的办事机构予以公告；资金、资产已被冻结的，应当解除冻结。</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六条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第三章安全防范</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第十七条各级人民政府和有关部门应当组织开展反恐怖主义宣传教育，提高公民的反恐怖主义意识。</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教育、人力资源行政主管部门和学校、有关职业培训机构应当将恐怖活动预防、应急知识纳入教育、教学、培训的内容。</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新闻、广播、电视、文化、宗教、互联网等有关单位，应当有针对性地面向社会进行反恐怖主义宣传教育。</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村民委员会、居民委员会应当协助人民政府以及有关部门，加强反恐怖主义宣传教育。</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第十八条电信业务经营者、互联网服务提供者应当为公安机关、国家安全机关依法进行防范、调查恐怖活动提供技术接口和解密等技术支持和协助。</w:t>
            </w:r>
            <w:r w:rsidRPr="00AD2FAA">
              <w:rPr>
                <w:rFonts w:ascii="宋体" w:eastAsia="宋体" w:hAnsi="宋体" w:cs="宋体" w:hint="eastAsia"/>
                <w:color w:val="000000"/>
                <w:kern w:val="0"/>
                <w:szCs w:val="21"/>
              </w:rPr>
              <w:br/>
              <w:t xml:space="preserve">　　第十九条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网信、电信、公安、国家安全等主管部门对含有恐怖主义、极端主义内容的信息，应当按照职责分工，及时责令有关单位停止传输、删除相关信息，或者关闭相关网站、关停相关</w:t>
            </w:r>
            <w:r w:rsidRPr="00AD2FAA">
              <w:rPr>
                <w:rFonts w:ascii="宋体" w:eastAsia="宋体" w:hAnsi="宋体" w:cs="宋体" w:hint="eastAsia"/>
                <w:color w:val="000000"/>
                <w:kern w:val="0"/>
                <w:szCs w:val="21"/>
              </w:rPr>
              <w:lastRenderedPageBreak/>
              <w:t>服务。有关单位应当立即执行，并保存相关记录，协助进行调查。对互联网上跨境传输的含有恐怖主义、极端主义内容的信息，电信主管部门应当采取技术措施，阻断传播。</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条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前款规定的物流运营单位，应当实行运输、寄递客户身份、物品信息登记制度。</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第二十一条电信、互联网、金融、住宿、长途客运、机动车租赁等业务经营者、服务提供者，应当对客户身份进行查验。对身份不明或者拒绝身份查验的，不得提供服务。</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第二十二条生产和进口单位应当依照规定对枪支等武器、弹药、管制器具、危险化学品、民用爆炸物品、核与放射物品作出电子追踪标识，对民用爆炸物品添加安检示踪标识物。</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运输单位应当依照规定对运营中的危险化学品、民用爆炸物品、核与放射物品的运输工具通过定位系统实行监控。</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有关单位应当依照规定对传染病病原体等物质实行严格的监督管理，严密防范传染病病原体等物质扩散或者流入非法渠道。</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三条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第二十四条国务院反洗钱行政主管部门、国务院有关部门、机构依法对金融机构和特定非金融机构履行反恐怖主义融资义务的情况进行监督管理。</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国务院反洗钱行政主管部门发现涉嫌恐怖主义融资的，可以依法进行调查，采取临时冻结措施。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第二十五条审计、财政、税务等部门在依照法律、行政法规的规定对有关单位实施监督检查的过程中，发现资金流入流出涉嫌恐怖主义融资的，应当及时通报公安机关。</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第二十六条海关在对进出境人员携带现金和无记名有价证券实施监管的过程中，发现涉嫌恐怖主义融资的，应当立即通报国务院反洗钱行政主管部门和有管辖权的公安机关。</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第二十七条地方各级人民政府制定、组织实施城乡规划，应当符合反恐怖主义工作的需</w:t>
            </w:r>
            <w:r w:rsidRPr="00AD2FAA">
              <w:rPr>
                <w:rFonts w:ascii="宋体" w:eastAsia="宋体" w:hAnsi="宋体" w:cs="宋体" w:hint="eastAsia"/>
                <w:color w:val="000000"/>
                <w:kern w:val="0"/>
                <w:szCs w:val="21"/>
              </w:rPr>
              <w:lastRenderedPageBreak/>
              <w:t>要。</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地方各级人民政府应当根据需要，组织、督促有关建设单位在主要道路、交通枢纽、城市公共区域的重点部位，配备、安装公共安全视频图像信息系统等防范恐怖袭击的技防、物防设备、设施。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第二十八条公安机关和有关部门对宣扬极端主义，利用极端主义危害公共安全、扰乱公共秩序、侵犯人身财产、妨害社会管理的，应当及时予以制止，依法追究法律责任。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公安机关发现极端主义活动的，应当责令立即停止，将有关人员强行带离现场并登记身份信息，对有关物品、资料予以收缴，对非法活动场所予以查封。</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任何单位和个人发现宣扬极端主义的物品、资料、信息的，应当立即向公安机关报告。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二十九条对被教唆、胁迫、引诱参与恐怖活动、极端主义活动，或者参与恐怖活动、极端主义活动情节轻微，尚不构成犯罪的人员，公安机关应当组织有关部门、村民委员会、居民委员会、所在单位、就读学校、家庭和监护人对其进行帮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条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人民检察院对安置教育的决定和执行实行监督。</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一条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第三十二条重点目标的管理单位应当履行下列职责：</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（一）制定防范和应对处置恐怖活动的预案、措施，定期进行培训和演练；</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（二）建立反恐怖主义工作专项经费保障制度，配备、更新防范和处置设备、设施；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（三）指定相关机构或者落实责任人员，明确岗位职责；</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（四）实行风险评估，实时监测安全威胁，完善内部安全管理；</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（五）定期向公安机关和有关部门报告防范措施落实情况。</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重点目标的管理单位应当根据城乡规划、相关标准和实际需要，对重点目标同步设计、同步建设、同步运行符合本法第二十七条规定的技防、物防设备、设施。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重点目标的管理单位应当建立公共安全视频图像信息系统值班监看、信息保存使用、运行维护等管理制度，保障相关系统正常运行。采集的视频图像信息保存期限不得少于九十日。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对重点目标以外的涉及公共安全的其他单位、场所、活动、设施，其主管部门和管理单位应当依照法律、行政法规规定，建立健全安全管理制度，落实安全责任。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第三十三条重点目标的管理单位应当对重要岗位人员进行安全背景审查。对有不适合情形的人员，应当调整工作岗位，并将有关情况通报公安机关。</w:t>
            </w:r>
            <w:r w:rsidRPr="00AD2FAA">
              <w:rPr>
                <w:rFonts w:ascii="宋体" w:eastAsia="宋体" w:hAnsi="宋体" w:cs="宋体" w:hint="eastAsia"/>
                <w:color w:val="000000"/>
                <w:kern w:val="0"/>
                <w:szCs w:val="21"/>
              </w:rPr>
              <w:br/>
              <w:t xml:space="preserve">　　第三十四条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第三十五条对航空器、列车、船舶、城市轨道车辆、公共电汽车等公共交通运输工具，营运单位应当依照规定配备安保人员和相应设备、设施，加强安全检查和保卫工作。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第三十六条公安机关和有关部门应当掌握重点目标的基础信息和重要动态，指导、监督重点目标的管理单位履行防范恐怖袭击的各项职责。</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公安机关、中国人民武装警察部队应当依照有关规定对重点目标进行警戒、巡逻、检查。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第三十七条飞行管制、民用航空、公安等主管部门应当按照职责分工，加强空域、航空器和飞行活动管理，严密防范针对航空器或者利用飞行活动实施的恐怖活动。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第三十八条各级人民政府和军事机关应当在重点国（边）境地段和口岸设置拦阻隔离网、视频图像采集和防越境报警设施。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公安机关和中国人民解放军应当严密组织国（边）境巡逻，依照规定对抵离国（边）境前沿、进出国（边）境管理区和国（边）境通道、口岸的人员、交通运输工具、物品，以及沿海沿边地区的船舶进行查验。</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第三十九条出入境证件签发机关、出入境边防检察机关对恐怖活动人员和恐怖活动嫌疑人员，有权决定不准其出境入境、不予签发出境入境证件或者宣布其出境入境证件作废。</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第四十条海关、出入境边防检察机关发现恐怖活动嫌疑人员或者涉嫌恐怖活动物品的，应当依法扣留，并立即移送公安机关或者国家安全机关。</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检验检疫机关发现涉嫌恐怖活动物品的，应当依法扣留，并立即移送公安机关或者国家安全机关。</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一条国务院外交、公安、国家安全、发展改革、工业和信息化、商务、旅游等主管部门应当建立境外投资合作、旅游等安全风险评估制度，对中国在境外的公民以及驻外机构、设施、财产加强安全保护，防范和应对恐怖袭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第四十二条驻外机构应当建立健全安全防范制度和应对处置预案，加强对有关人员、设施、财产的安全保护。</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第四章情报信息</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第四十三条国家反恐怖主义工作领导机构建立国家反恐怖主义情报中心，实行跨部门、跨地区情报信息工作机制，统筹反恐怖主义情报信息工作。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有关部门应当加强反恐怖主义情报信息搜集工作，对搜集的有关线索、人员、行动类情报信息，应当依照规定及时统一归口报送国家反恐怖主义情报中心。</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第四十四条公安机关、国家安全机关和有关部门应当依靠群众，加强基层基础工作，建立基层情报信息工作力量，提高反恐怖主义情报信息工作能力。</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第四十五条公安机关、国家安全机关、军事机关在其职责范围内，因反恐怖主义情报信息工作的需要，根据国家有关规定，经过严格的批准手续，可以采取技术侦察措施。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依照前款规定获取的材料，只能用于反恐怖主义应对处置和对恐怖活动犯罪、极端主义犯罪的侦查、起诉和审判，不得用于其他用途。</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第四十六条有关部门对于在本法第三章规定的安全防范工作中获取的信息，应当根据国家反恐怖主义情报中心的要求，及时提供。</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七条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第四十八条反恐怖主义工作领导机构、有关部门和单位、个人应当对履行反恐怖主义工作职责、义务过程中知悉的国家秘密、商业秘密和个人隐私予以保密。</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违反规定泄露国家秘密、商业秘密和个人隐私的，依法追究法律责任。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第五章调查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第四十九条公安机关接到恐怖活动嫌疑的报告或者发现恐怖活动嫌疑，需要调查核实的，应当迅速进行调查。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第五十条公安机关调查恐怖活动嫌疑，可以依照有关法律规定对嫌疑人员进行盘问、检查、传唤，可以提取或者采集肖像、指纹、虹膜图像等人体生物识别信息和血液、尿液、脱落细胞等生物样本，并留存其签名。</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公安机关调查恐怖活动嫌疑，可以通知了解有关情况的人员到公安机关或者其他地点接受询问。</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第五十一条公安机关调查恐怖活动嫌疑，有权向有关单位和个人收集、调取相关信息和材料。有关单位和个人应当如实提供。</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二条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第五十三条公安机关调查恐怖活动嫌疑，经县级以上公安机关负责人批准，可以根据其危险程度，责令恐怖活动嫌疑人员遵守下列一项或者多项约束措施：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（一）未经公安机关批准不得离开所居住的市、县或者指定的处所；</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（二）不得参加大型群众性活动或者从事特定的活动；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（三）未经公安机关批准不得乘坐公共交通工具或者进入特定的场所；</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（四）不得与特定的人员会见或者通信；</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（五）定期向公安机关报告活动情况；</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（六）将护照等出入境证件、身份证件、驾驶证件交公安机关保存。</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公安机关可以采取电子监控、不定期检查等方式对其遵守约束措施的情况进行监督。</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采取前两款规定的约束措施的期限不得超过三个月。对不需要继续采取约束措施的，应当及时解除。</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第五十四条公安机关经调查，发现犯罪事实或者犯罪嫌疑人的，应当依照刑事诉讼法的规定立案侦查。本章规定的有关期限届满，公安机关未立案侦查的，应当解除有关措施。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第六章应对处置</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第五十五条国家建立健全恐怖事件应对处置预案体系。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有关部门、地方反恐怖主义工作领导机构应当制定相应的应对处置预案。</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第五十六条应对处置恐怖事件，各级反恐怖主义工作领导机构应当成立由有关部门参加的指挥机构，实行指挥长负责</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制。反恐怖主义工作领导机构负责人可以担任指挥长，也可以确定公安机关负责人或者</w:t>
            </w:r>
            <w:r w:rsidRPr="00AD2FAA">
              <w:rPr>
                <w:rFonts w:ascii="宋体" w:eastAsia="宋体" w:hAnsi="宋体" w:cs="宋体" w:hint="eastAsia"/>
                <w:color w:val="000000"/>
                <w:kern w:val="0"/>
                <w:szCs w:val="21"/>
              </w:rPr>
              <w:lastRenderedPageBreak/>
              <w:t>反恐怖主义工作领导机构的其他成员单位负责人担任指挥长。</w:t>
            </w:r>
            <w:r w:rsidRPr="00AD2FAA">
              <w:rPr>
                <w:rFonts w:ascii="宋体" w:eastAsia="宋体" w:hAnsi="宋体" w:cs="宋体" w:hint="eastAsia"/>
                <w:color w:val="000000"/>
                <w:kern w:val="0"/>
                <w:szCs w:val="21"/>
              </w:rPr>
              <w:br/>
              <w:t xml:space="preserve">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构负责指挥。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七条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上级反恐怖主义工作领导机构可以对应对处置工作进行指导，必要时调动有关反恐怖主义力量进行支援。</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需要进入紧急状态的，由全国人民代表大会常务委员会或者国务院依照宪法和其他有关法律规定的权限和程序决定。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八条发现恐怖事件或者疑似恐怖事件后，公安机关应当立即进行处置，并向反恐怖主义工作领导机构报告；中国人民解放军、中国人民武装警察部队发现正在实施恐怖活动的，应当立即予以控制并将案件及时移交公安机关。</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指挥长确定后，现场指挥员应当向其请示、报告工作或者有关情况。</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五十九条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中华人民共和国在境外的机构、人员、重要设施遭受严重恐怖袭击后，经与有关国家协商同意，国家反恐怖主义工作领导机构可以组织外交、公安、国家安全等部门派出工作人员赴境外开展应对处置工作。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第六十条应对处置恐怖事件，应当优先保护直接受到恐怖活动危害、威胁人员的人身安全。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第六十一条恐怖事件发生后，负责应对处置的反恐怖主义工作领导机构可以决定由有关部门和单位采取下列一项或者多项应对处置措施：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（一）组织营救和救治受害人员，疏散、撤离并妥善安置受到威胁的人员以及采取其他救助措施；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（二）封锁现场和周边道路，查验现场人员的身份证件，在有关场所附近设置临时警戒线；</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（三）在特定区域内实施空域、海（水）域管制，对特定区域内的交通运输工具进行检查；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（四）在特定区域内实施互联网、无线电、通讯管制；</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（五）在特定区域内或者针对特定人员实施出境入境管制；</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（六）禁止或者限制使用有关设备、设施，关闭或者限制使用有关场所，中止人员密集的活动或者可能导致危害扩大的生产经营活动；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（七）抢修被损坏的交通、电信、互联网、广播电视、供水、排水、供电、供气、供热等公共设施；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（八）组织志愿人员参加反恐怖主义救援工作，要求具有特定专长的人员提供服务；</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（九）其他必要的应对处置措施。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二条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第六十三条恐怖事件发生、发展和应对处置信息，由恐怖事件发生地的省级反恐怖主义工作领导机构统一发布；跨省、自治区、直辖市发生的恐怖事件，由指定的省级反恐怖主义工作领导机构统一发布。</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第六十四条恐怖事件应对处置结束后，各级人民政府应当组织有关部门帮助受影响的单位和个人尽快恢复生活、生产，稳定受影响地区的社会秩序和公众情绪。</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五条当地人民政府应当及时给予恐怖事件受害人员及其近亲属适当的救助，并向失去基本生活条件的受害人员及其近亲属及时提供基本生活保障。卫生、民政等主管部门应当为恐怖事件受害人员及其近亲属提供心理、医疗等方面的援助。</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第六十六条公安机关应当及时对恐怖事件立案侦查，查明事件发生的原因、经过和结果，依法追究恐怖活动组织、人员的刑事责任。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第六十七条反恐怖主义工作领导机构应当对恐怖事件的发生和应对处置工作进行全面分析、总结评估，提出防范和应对处置改进措施，向上一级反恐怖主义工作领导机构报告。</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第七章国际合作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第六十八条中华人民共和国根据缔结或者参加的国际条约，或者按照平等互惠原则，与其他国家、地区、国际组织开展反恐怖主义合作。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第六十九条国务院有关部门根据国务院授权，代表中国政府与外国政府和有关国际组织开展反恐怖主义政策对话、情报信息交流、执法合作和国际资金监管合作。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在不违背我国法律的前提下，边境地区的县级以上地方人民政府及其主管部门，经国务院或者中央有关部门批准，可以与相邻国家或者地区开展反恐怖主义情报信息交流、执法合作和国际资金监管合作。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第七十条涉及恐怖活动犯罪的刑事司法协助、引渡和被判刑人移管，依照有关法律规定执行。</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第七十一条经与有关国家达成协议，并报国务院批准，国务院公安部门、国家安全部门可以派员出境执行反恐怖主义任务。</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中国人民解放军、中国人民武装警察部队派员出境执行反恐怖主义任务，由中央军事委员会批准。</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第七十二条通过反恐怖主义国际合作取得的材料可以在行政处罚、刑事诉讼中作为证据使用，但我方承诺不作为证据使用的除外。</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第八章保障措施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第七十三条国务院和县级以上地方各级人民政府应当按照事权划分，将反恐怖主义工作经费分别列入同级财政预算。</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国家对反恐怖主义重点地区给予必要的经费支持，对应对处置大规模恐怖事件给予经费保障。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第七十四条公安机关、国家安全机关和有关部门，以及中国人民解放军、中国人民武装警察部队，应当依照法律规定的职责，建立反恐怖主义专业力量，加强专业训练，配备必要的反恐怖主义专业设备、设施。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县级、乡级人民政府根据需要，指导有关单位、村民委员会、居民委员会建立反恐怖主义工作力量、志愿者队伍，协助、配合有关部门开展反恐怖主义工作。</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第七十五条对因履行反恐怖主义工作职责或者协助、配合有关部门开展反恐怖主义工作导致伤残或者死亡的人员，按照国家有关规定给予相应的待遇。</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六条因报告和制止恐怖活动，在恐怖活动犯罪案件中作证，或者从事反恐怖主义工作，本人或者其近亲属的人身安全面临危险的，经本人或者其近亲属提出申请，公安机关、有关部门应当采取下列一项或者多项保护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（一）不公开真实姓名、住址和工作单位等个人信息；</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（二）禁止特定的人接触被保护人员；</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（三）对人身和住宅采取专门性保护措施；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（四）变更被保护人员的姓名，重新安排住所和工作单位；</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（五）其他必要的保护措施。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公安机关、有关部门应当依照前款规定，采取不公开被保护单位的真实名称、地址，禁止特定的人接近被保护单位，对被保护单位办公、经营场所采取专门性保护措施，以及其他必要的保护措施。</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第七十七条国家鼓励、支持反恐怖主义科学研究和技术创新，开发和推广使用先进的反恐怖主义技术、设备。</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八条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因开展反恐怖主义工作对有关单位和个人的合法权益造成损害的，应当依法给予赔偿、补偿。有关单位和个人有权依法请求赔偿、补偿。</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第九章法律责任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七十九条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第八十条参与下列活动之一，情节轻微，尚不构成犯罪的，由公安机关处十日以上十五日以下拘留，可以并处一万元以</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（一）宣扬恐怖主义、极端主义或者煽动实施恐怖活动、极端主义活动的；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（二）制作、传播、非法持有宣扬恐怖主义、极端主义的物品的；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（三）强制他人在公共场所穿戴宣扬恐怖主义、极端主义的服饰、标志的；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（四）为宣扬恐怖主义、极端主义或者实施恐怖主义、极端主义活动提供信息、资金、物资、劳务、技术、场所等支持、协助、便利的。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第八十一条利用极端主义，实施下列行为之一，情节轻微，尚不构成犯罪的，由公安机关处五日以上十五日以下拘留，可以并处一万元以下罚款：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（一）强迫他人参加宗教活动，或者强迫他人向宗教活动场所、宗教教职人员提供财物或者劳务的；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（二）以恐吓、骚扰等方式驱赶其他民族或者有其他信仰的人员离开居住地的；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（三）以恐吓、骚扰等方式干涉他人与其他民族或者有其他信仰的人员交往、共同生活的；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（四）以恐吓、骚扰等方式干涉他人生活习俗、方式和生产经营的；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（五）阻碍国家机关工作人员依法执行职务的；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（六）歪曲、诋毁国家政策、法律、行政法规，煽动、教唆抵制人民政府依法管理的；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（七）煽动、胁迫群众损毁或者故意损毁居民身份证、户口簿等国家法定证件以及人民币的；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（八）煽动、胁迫他人以宗教仪式取代结婚、离婚登记的；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（九）煽动、胁迫未成年人不接受义务教育的；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（十）其他利用极端主义破坏国家法律制度实施的。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三条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员和其他直接责任人员处十万元以下罚款；情节严重的，处五十万元以上罚款，并对直接负责的董事、高级管理人员和其他直接责任人员，处十万元以上五十万元以下罚款，可以并处五日以上十五日以下拘留。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（一）未依照规定为公安机关、国家安全机关依法进行防范、调查恐怖活动提供技术接口和解密等技术支持和协助的；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（二）未按照主管部门的要求，停止传输、删除含有恐怖主义、极端主义内容的信息，保存相关记录，关闭相关网站或者关停相关服务的；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（三）未落实网络安全、信息内容监督制度和安全技术防范措施，造成含有恐怖主义、极端主义内容的信息传播，情节严重的。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第八十五条铁路、公路、水上、航空的货运和邮政、快递等物流运营单位有下列情形之一的，由主管部门处十万元以上五十万元以下罚款，并对其直接负责的主管人员和其他直接责任人员处十万元以下罚款：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（一）未实行安全查验制度，对客户身份进行查验，或者未依照规定对运输、寄递物品进行安全检查或者开封验视的；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（二）对禁止运输、寄递，存在重大安全隐患，或者客户拒绝安全查验的物品予以运输、寄递的；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（三）未实行运输、寄递客户身份、物品信息登记制度的。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住宿、长途客运、机动车租赁等业务经营者、服务提供者有前款规定情形的，由主管部门处十万元以上五十万元以下罚款，并对其直接负责的主管人员和其他直接责任人员处十万元以下罚款。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第八十七条违反本法规定，有下列情形之一的，由主管部门给予警告，并责令改正；拒不改正的，处十万元以下罚款，并对其直接负责的主管人员和其他直接责任人员处一万元以下罚款：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（一）未依照规定对枪支等武器、弹药、管制器具、危险化学品、民用爆炸物品、核与放射物品作出电子追踪标识，对民用爆炸物品添加安检示踪标识物的；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（二）未依照规定对运营中的危险化学品、民用爆炸物品、核与放射物品的运输工具通过定位系统实行监控的；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（三）未依照规定对传染病病原体等物质实行严格的监督管理，情节严重的；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（四）违反国务院有关主管部门或者省级人民政府对管制器具、危险化学品、民用爆炸物品决定的管制或者限制交易措施的。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八条防范恐怖袭击重点目标的管理、营运单位违反本法规定，有下列情形之一的，由公安机关给予警告，并责令改正；拒不改正的，处十万元以下罚款，并对其直接负责的主管人员和其他直接责任人员处一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（一）未制定防范和应对处置恐怖活动的预案、措施的；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（二）未建立反恐怖主义工作专项经费保障制度，或者未配备防范和处置设备、设施的；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（三）未落实工作机构或者责任人员的；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（四）未对重要岗位人员进行安全背景审查，或者未将有不适合情形的人员调整工作岗位的；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（五）对公共交通运输工具未依照规定配备安保人员和相应设备、设施的；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（六）未建立公共安全视频图像信息系统值班监看、信息保存使用、运行维护等管理制</w:t>
            </w:r>
            <w:r w:rsidRPr="00AD2FAA">
              <w:rPr>
                <w:rFonts w:ascii="宋体" w:eastAsia="宋体" w:hAnsi="宋体" w:cs="宋体" w:hint="eastAsia"/>
                <w:color w:val="000000"/>
                <w:kern w:val="0"/>
                <w:szCs w:val="21"/>
              </w:rPr>
              <w:lastRenderedPageBreak/>
              <w:t>度的。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第八十九条恐怖活动嫌疑人员违反公安机关责令其遵守的约束措施的，由公安机关给予警告，并责令改正；拒不改正</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的，处五日以上十五日以下拘留。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个人有前款规定行为的，由公安机关处五日以上十五日以下拘留，可以并处一万元以下罚款。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第九十一条拒不配合有关部门开展反恐怖主义安全防范、情报信息、调查、应对处置工作的，由主管部门处二千元以下罚款；造成严重后果的，处五日以上十五日以下拘留，可以并处一万元以下罚款。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单位有前款规定行为的，由主管部门处五万元以下罚款；造成严重后果的，处十万元以下罚款；并对其直接负责的主管人员和其他直接责任人员依照前款规定处罚。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第九十二条阻碍有关部门开展反恐怖主义工作的，由公安机关处五日以上十五日以下拘留，可以并处五万元以下罚款。</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单位有前款规定行为的，由公安机关处二十万元以下罚款，并对其直接负责的主管人员和其他直接责任人员依照前款规定处罚。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阻碍人民警察、人民解放军、人民武装警察依法执行职务的，从重处罚。</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第九十三条单位违反本法规定，情节严重的，由主管部门责令停止从事相关业务、提供相关服务或者责令停产停业；造成严重后果的，吊销有关证照或者撤销登记。</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十四条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r>
            <w:r w:rsidRPr="00AD2FAA">
              <w:rPr>
                <w:rFonts w:ascii="宋体" w:eastAsia="宋体" w:hAnsi="宋体" w:cs="宋体" w:hint="eastAsia"/>
                <w:color w:val="000000"/>
                <w:kern w:val="0"/>
                <w:szCs w:val="21"/>
              </w:rPr>
              <w:lastRenderedPageBreak/>
              <w:t xml:space="preserve">　　第九十五条对依照本法规定查封、扣押、冻结、扣留、收缴的物品、资金等，经审查发现与恐怖主义无关的，应当及时解除有关措施，予以退还。</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第九十六条有关单位和个人对依照本法作出的行政处罚和行政强制措施决定不服的，可以依法申请行政复议或者提起行政诉讼。</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第十章附则</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第九十七条本法自2016年1月1日起施行。2011年10月29日第十一届全国人民代表大会常务委员会第二十三次会议通过的</w:t>
            </w:r>
            <w:r w:rsidRPr="00AD2FAA">
              <w:rPr>
                <w:rFonts w:ascii="宋体" w:eastAsia="宋体" w:hAnsi="宋体" w:cs="宋体" w:hint="eastAsia"/>
                <w:color w:val="000000"/>
                <w:kern w:val="0"/>
              </w:rPr>
              <w:t> </w:t>
            </w:r>
            <w:r w:rsidRPr="00AD2FAA">
              <w:rPr>
                <w:rFonts w:ascii="宋体" w:eastAsia="宋体" w:hAnsi="宋体" w:cs="宋体" w:hint="eastAsia"/>
                <w:color w:val="000000"/>
                <w:kern w:val="0"/>
                <w:szCs w:val="21"/>
              </w:rPr>
              <w:br/>
              <w:t xml:space="preserve">　　《全国人民代表大会常务委员会关于加强反恐怖工作有关问题的决定》同时废止。</w:t>
            </w:r>
          </w:p>
        </w:tc>
      </w:tr>
    </w:tbl>
    <w:p w:rsidR="00AD2FAA" w:rsidRPr="00AD2FAA" w:rsidRDefault="00AD2FAA" w:rsidP="00AD2FAA">
      <w:pPr>
        <w:widowControl/>
        <w:jc w:val="left"/>
        <w:rPr>
          <w:rFonts w:ascii="宋体" w:eastAsia="宋体" w:hAnsi="宋体" w:cs="宋体"/>
          <w:vanish/>
          <w:kern w:val="0"/>
          <w:sz w:val="24"/>
          <w:szCs w:val="24"/>
        </w:rPr>
      </w:pPr>
    </w:p>
    <w:p w:rsidR="00992122" w:rsidRDefault="00992122"/>
    <w:sectPr w:rsidR="00992122" w:rsidSect="00992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D7A" w:rsidRDefault="00D91D7A" w:rsidP="00AD2FAA">
      <w:r>
        <w:separator/>
      </w:r>
    </w:p>
  </w:endnote>
  <w:endnote w:type="continuationSeparator" w:id="0">
    <w:p w:rsidR="00D91D7A" w:rsidRDefault="00D91D7A" w:rsidP="00AD2F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D7A" w:rsidRDefault="00D91D7A" w:rsidP="00AD2FAA">
      <w:r>
        <w:separator/>
      </w:r>
    </w:p>
  </w:footnote>
  <w:footnote w:type="continuationSeparator" w:id="0">
    <w:p w:rsidR="00D91D7A" w:rsidRDefault="00D91D7A" w:rsidP="00AD2F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FAA"/>
    <w:rsid w:val="00992122"/>
    <w:rsid w:val="00AD2FAA"/>
    <w:rsid w:val="00D91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F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2FAA"/>
    <w:rPr>
      <w:sz w:val="18"/>
      <w:szCs w:val="18"/>
    </w:rPr>
  </w:style>
  <w:style w:type="paragraph" w:styleId="a4">
    <w:name w:val="footer"/>
    <w:basedOn w:val="a"/>
    <w:link w:val="Char0"/>
    <w:uiPriority w:val="99"/>
    <w:semiHidden/>
    <w:unhideWhenUsed/>
    <w:rsid w:val="00AD2F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2FAA"/>
    <w:rPr>
      <w:sz w:val="18"/>
      <w:szCs w:val="18"/>
    </w:rPr>
  </w:style>
  <w:style w:type="character" w:customStyle="1" w:styleId="apple-converted-space">
    <w:name w:val="apple-converted-space"/>
    <w:basedOn w:val="a0"/>
    <w:rsid w:val="00AD2FAA"/>
  </w:style>
</w:styles>
</file>

<file path=word/webSettings.xml><?xml version="1.0" encoding="utf-8"?>
<w:webSettings xmlns:r="http://schemas.openxmlformats.org/officeDocument/2006/relationships" xmlns:w="http://schemas.openxmlformats.org/wordprocessingml/2006/main">
  <w:divs>
    <w:div w:id="853958432">
      <w:bodyDiv w:val="1"/>
      <w:marLeft w:val="0"/>
      <w:marRight w:val="0"/>
      <w:marTop w:val="0"/>
      <w:marBottom w:val="0"/>
      <w:divBdr>
        <w:top w:val="none" w:sz="0" w:space="0" w:color="auto"/>
        <w:left w:val="none" w:sz="0" w:space="0" w:color="auto"/>
        <w:bottom w:val="none" w:sz="0" w:space="0" w:color="auto"/>
        <w:right w:val="none" w:sz="0" w:space="0" w:color="auto"/>
      </w:divBdr>
      <w:divsChild>
        <w:div w:id="408115751">
          <w:marLeft w:val="0"/>
          <w:marRight w:val="0"/>
          <w:marTop w:val="0"/>
          <w:marBottom w:val="0"/>
          <w:divBdr>
            <w:top w:val="none" w:sz="0" w:space="0" w:color="auto"/>
            <w:left w:val="none" w:sz="0" w:space="0" w:color="auto"/>
            <w:bottom w:val="none" w:sz="0" w:space="0" w:color="auto"/>
            <w:right w:val="none" w:sz="0" w:space="0" w:color="auto"/>
          </w:divBdr>
          <w:divsChild>
            <w:div w:id="3227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2358</Words>
  <Characters>13443</Characters>
  <Application>Microsoft Office Word</Application>
  <DocSecurity>0</DocSecurity>
  <Lines>112</Lines>
  <Paragraphs>31</Paragraphs>
  <ScaleCrop>false</ScaleCrop>
  <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董亚钊</dc:creator>
  <cp:keywords/>
  <dc:description/>
  <cp:lastModifiedBy>董亚钊</cp:lastModifiedBy>
  <cp:revision>2</cp:revision>
  <dcterms:created xsi:type="dcterms:W3CDTF">2017-09-02T08:14:00Z</dcterms:created>
  <dcterms:modified xsi:type="dcterms:W3CDTF">2017-09-02T08:15:00Z</dcterms:modified>
</cp:coreProperties>
</file>